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7AF" w:rsidRPr="00466CFF" w:rsidRDefault="00F75CD1">
      <w:pPr>
        <w:rPr>
          <w:b/>
          <w:sz w:val="28"/>
          <w:szCs w:val="28"/>
        </w:rPr>
      </w:pPr>
      <w:bookmarkStart w:id="0" w:name="_GoBack"/>
      <w:bookmarkEnd w:id="0"/>
      <w:r w:rsidRPr="00466CFF">
        <w:rPr>
          <w:b/>
          <w:sz w:val="28"/>
          <w:szCs w:val="28"/>
        </w:rPr>
        <w:t>Ansøgning om ekstraordinær frihed</w:t>
      </w:r>
    </w:p>
    <w:p w:rsidR="00F75CD1" w:rsidRPr="00566490" w:rsidRDefault="00566490" w:rsidP="00566490">
      <w:pPr>
        <w:pStyle w:val="Listeafsnit"/>
        <w:numPr>
          <w:ilvl w:val="0"/>
          <w:numId w:val="1"/>
        </w:numPr>
        <w:rPr>
          <w:i/>
          <w:sz w:val="18"/>
          <w:szCs w:val="18"/>
        </w:rPr>
      </w:pPr>
      <w:r w:rsidRPr="00566490">
        <w:rPr>
          <w:i/>
          <w:sz w:val="18"/>
          <w:szCs w:val="18"/>
        </w:rPr>
        <w:t>Der skal søges om ekstraordinær frihed</w:t>
      </w:r>
      <w:r w:rsidR="00AC01C9">
        <w:rPr>
          <w:i/>
          <w:sz w:val="18"/>
          <w:szCs w:val="18"/>
        </w:rPr>
        <w:t>, hvis der afholdes</w:t>
      </w:r>
      <w:r w:rsidRPr="00566490">
        <w:rPr>
          <w:i/>
          <w:sz w:val="18"/>
          <w:szCs w:val="18"/>
        </w:rPr>
        <w:t xml:space="preserve"> </w:t>
      </w:r>
      <w:r w:rsidRPr="00AC01C9">
        <w:rPr>
          <w:i/>
          <w:sz w:val="18"/>
          <w:szCs w:val="18"/>
          <w:u w:val="single"/>
        </w:rPr>
        <w:t>mere</w:t>
      </w:r>
      <w:r>
        <w:rPr>
          <w:i/>
          <w:sz w:val="18"/>
          <w:szCs w:val="18"/>
        </w:rPr>
        <w:t xml:space="preserve"> en</w:t>
      </w:r>
      <w:r w:rsidR="00AC01C9">
        <w:rPr>
          <w:i/>
          <w:sz w:val="18"/>
          <w:szCs w:val="18"/>
        </w:rPr>
        <w:t>d</w:t>
      </w:r>
      <w:r>
        <w:rPr>
          <w:i/>
          <w:sz w:val="18"/>
          <w:szCs w:val="18"/>
        </w:rPr>
        <w:t xml:space="preserve"> 2 fridage</w:t>
      </w:r>
      <w:r w:rsidR="00AC01C9">
        <w:rPr>
          <w:i/>
          <w:sz w:val="18"/>
          <w:szCs w:val="18"/>
        </w:rPr>
        <w:t xml:space="preserve"> i træk</w:t>
      </w:r>
    </w:p>
    <w:p w:rsidR="00566490" w:rsidRPr="00566490" w:rsidRDefault="00566490" w:rsidP="00566490">
      <w:pPr>
        <w:pStyle w:val="Listeafsnit"/>
        <w:numPr>
          <w:ilvl w:val="0"/>
          <w:numId w:val="1"/>
        </w:numPr>
        <w:rPr>
          <w:i/>
          <w:sz w:val="18"/>
          <w:szCs w:val="18"/>
        </w:rPr>
      </w:pPr>
      <w:r w:rsidRPr="00566490">
        <w:rPr>
          <w:i/>
          <w:sz w:val="18"/>
          <w:szCs w:val="18"/>
        </w:rPr>
        <w:t>Der skal søges 14 dage inden den ekstraordinære frihed afholdes, medmindre der er tale om særlige omstændigheder</w:t>
      </w:r>
    </w:p>
    <w:p w:rsidR="002E0060" w:rsidRPr="00436CE5" w:rsidRDefault="002E0060" w:rsidP="002E0060">
      <w:pPr>
        <w:ind w:left="-142" w:firstLine="142"/>
        <w:rPr>
          <w:b/>
          <w:sz w:val="20"/>
          <w:szCs w:val="20"/>
        </w:rPr>
      </w:pPr>
      <w:r w:rsidRPr="00436CE5">
        <w:rPr>
          <w:b/>
          <w:sz w:val="20"/>
          <w:szCs w:val="20"/>
        </w:rPr>
        <w:t xml:space="preserve">Hermed ansøges </w:t>
      </w:r>
      <w:r>
        <w:rPr>
          <w:b/>
          <w:sz w:val="20"/>
          <w:szCs w:val="20"/>
        </w:rPr>
        <w:t>der om ekstraordinær frihed</w:t>
      </w:r>
      <w:r w:rsidRPr="00436CE5">
        <w:rPr>
          <w:b/>
          <w:sz w:val="20"/>
          <w:szCs w:val="20"/>
        </w:rPr>
        <w:t>:</w:t>
      </w:r>
    </w:p>
    <w:tbl>
      <w:tblPr>
        <w:tblStyle w:val="Tabel-Gitter"/>
        <w:tblW w:w="10031" w:type="dxa"/>
        <w:tblLook w:val="04A0" w:firstRow="1" w:lastRow="0" w:firstColumn="1" w:lastColumn="0" w:noHBand="0" w:noVBand="1"/>
      </w:tblPr>
      <w:tblGrid>
        <w:gridCol w:w="2660"/>
        <w:gridCol w:w="7371"/>
      </w:tblGrid>
      <w:tr w:rsidR="002E0060" w:rsidRPr="00436CE5" w:rsidTr="00A86EEB">
        <w:tc>
          <w:tcPr>
            <w:tcW w:w="2660" w:type="dxa"/>
            <w:shd w:val="clear" w:color="auto" w:fill="F2F2F2" w:themeFill="background1" w:themeFillShade="F2"/>
          </w:tcPr>
          <w:p w:rsidR="002E0060" w:rsidRPr="00436CE5" w:rsidRDefault="002E0060" w:rsidP="00A86EEB">
            <w:pPr>
              <w:spacing w:before="120" w:after="120"/>
              <w:rPr>
                <w:b/>
                <w:sz w:val="20"/>
                <w:szCs w:val="20"/>
              </w:rPr>
            </w:pPr>
            <w:r>
              <w:rPr>
                <w:b/>
                <w:sz w:val="20"/>
                <w:szCs w:val="20"/>
              </w:rPr>
              <w:t>Elevens</w:t>
            </w:r>
            <w:r w:rsidRPr="00436CE5">
              <w:rPr>
                <w:b/>
                <w:sz w:val="20"/>
                <w:szCs w:val="20"/>
              </w:rPr>
              <w:t xml:space="preserve"> navn:</w:t>
            </w:r>
          </w:p>
        </w:tc>
        <w:tc>
          <w:tcPr>
            <w:tcW w:w="7371" w:type="dxa"/>
          </w:tcPr>
          <w:p w:rsidR="002E0060" w:rsidRPr="00103CBF" w:rsidRDefault="002E0060" w:rsidP="00A86EEB">
            <w:pPr>
              <w:spacing w:before="120" w:after="120"/>
              <w:rPr>
                <w:sz w:val="16"/>
                <w:szCs w:val="16"/>
              </w:rPr>
            </w:pPr>
          </w:p>
        </w:tc>
      </w:tr>
      <w:tr w:rsidR="002E0060" w:rsidRPr="00436CE5" w:rsidTr="00A86EEB">
        <w:tc>
          <w:tcPr>
            <w:tcW w:w="2660" w:type="dxa"/>
            <w:shd w:val="clear" w:color="auto" w:fill="F2F2F2" w:themeFill="background1" w:themeFillShade="F2"/>
          </w:tcPr>
          <w:p w:rsidR="002E0060" w:rsidRPr="00436CE5" w:rsidRDefault="002E0060" w:rsidP="00A86EEB">
            <w:pPr>
              <w:spacing w:before="120" w:after="120"/>
              <w:rPr>
                <w:b/>
                <w:sz w:val="20"/>
                <w:szCs w:val="20"/>
              </w:rPr>
            </w:pPr>
            <w:r w:rsidRPr="00436CE5">
              <w:rPr>
                <w:b/>
                <w:sz w:val="20"/>
                <w:szCs w:val="20"/>
              </w:rPr>
              <w:t>CPR. nr.:</w:t>
            </w:r>
          </w:p>
        </w:tc>
        <w:tc>
          <w:tcPr>
            <w:tcW w:w="7371" w:type="dxa"/>
          </w:tcPr>
          <w:p w:rsidR="002E0060" w:rsidRPr="00103CBF" w:rsidRDefault="002E0060" w:rsidP="00A86EEB">
            <w:pPr>
              <w:spacing w:before="120" w:after="120"/>
              <w:rPr>
                <w:sz w:val="20"/>
                <w:szCs w:val="20"/>
              </w:rPr>
            </w:pPr>
          </w:p>
        </w:tc>
      </w:tr>
      <w:tr w:rsidR="002E0060" w:rsidRPr="00436CE5" w:rsidTr="00A86EEB">
        <w:tc>
          <w:tcPr>
            <w:tcW w:w="2660" w:type="dxa"/>
            <w:shd w:val="clear" w:color="auto" w:fill="F2F2F2" w:themeFill="background1" w:themeFillShade="F2"/>
          </w:tcPr>
          <w:p w:rsidR="002E0060" w:rsidRPr="00436CE5" w:rsidRDefault="002E0060" w:rsidP="00A86EEB">
            <w:pPr>
              <w:spacing w:before="120" w:after="120"/>
              <w:rPr>
                <w:b/>
                <w:sz w:val="20"/>
                <w:szCs w:val="20"/>
              </w:rPr>
            </w:pPr>
            <w:r>
              <w:rPr>
                <w:b/>
                <w:sz w:val="20"/>
                <w:szCs w:val="20"/>
              </w:rPr>
              <w:t>Skole og klasse:</w:t>
            </w:r>
          </w:p>
        </w:tc>
        <w:tc>
          <w:tcPr>
            <w:tcW w:w="7371" w:type="dxa"/>
          </w:tcPr>
          <w:p w:rsidR="002E0060" w:rsidRPr="00103CBF" w:rsidRDefault="002E0060" w:rsidP="00A86EEB">
            <w:pPr>
              <w:spacing w:before="120" w:after="120"/>
              <w:rPr>
                <w:sz w:val="20"/>
                <w:szCs w:val="20"/>
              </w:rPr>
            </w:pPr>
          </w:p>
        </w:tc>
      </w:tr>
    </w:tbl>
    <w:p w:rsidR="002E0060" w:rsidRDefault="002E0060" w:rsidP="002E0060">
      <w:pPr>
        <w:rPr>
          <w:b/>
          <w:sz w:val="20"/>
          <w:szCs w:val="20"/>
        </w:rPr>
      </w:pPr>
    </w:p>
    <w:p w:rsidR="002E0060" w:rsidRDefault="002E0060" w:rsidP="002E0060">
      <w:pPr>
        <w:rPr>
          <w:b/>
          <w:sz w:val="20"/>
          <w:szCs w:val="20"/>
        </w:rPr>
      </w:pPr>
      <w:r w:rsidRPr="00436CE5">
        <w:rPr>
          <w:b/>
          <w:sz w:val="20"/>
          <w:szCs w:val="20"/>
        </w:rPr>
        <w:t>Forældremyndighedsindehaver(e)</w:t>
      </w:r>
      <w:r w:rsidR="006B2E59">
        <w:rPr>
          <w:b/>
          <w:sz w:val="20"/>
          <w:szCs w:val="20"/>
        </w:rPr>
        <w:t>:</w:t>
      </w:r>
    </w:p>
    <w:tbl>
      <w:tblPr>
        <w:tblStyle w:val="Tabel-Gitter"/>
        <w:tblW w:w="10031" w:type="dxa"/>
        <w:tblLook w:val="04A0" w:firstRow="1" w:lastRow="0" w:firstColumn="1" w:lastColumn="0" w:noHBand="0" w:noVBand="1"/>
      </w:tblPr>
      <w:tblGrid>
        <w:gridCol w:w="5618"/>
        <w:gridCol w:w="2033"/>
        <w:gridCol w:w="1190"/>
        <w:gridCol w:w="1190"/>
      </w:tblGrid>
      <w:tr w:rsidR="002E0060" w:rsidTr="00A86EEB">
        <w:trPr>
          <w:trHeight w:val="374"/>
        </w:trPr>
        <w:tc>
          <w:tcPr>
            <w:tcW w:w="5353" w:type="dxa"/>
            <w:vMerge w:val="restart"/>
            <w:shd w:val="clear" w:color="auto" w:fill="F2F2F2" w:themeFill="background1" w:themeFillShade="F2"/>
          </w:tcPr>
          <w:p w:rsidR="002E0060" w:rsidRPr="001A4FAB" w:rsidRDefault="002E0060" w:rsidP="00A86EEB">
            <w:pPr>
              <w:spacing w:before="120" w:after="120"/>
              <w:rPr>
                <w:b/>
                <w:sz w:val="20"/>
                <w:szCs w:val="20"/>
              </w:rPr>
            </w:pPr>
            <w:r w:rsidRPr="001A4FAB">
              <w:rPr>
                <w:b/>
                <w:sz w:val="20"/>
                <w:szCs w:val="20"/>
              </w:rPr>
              <w:t>Hvem har</w:t>
            </w:r>
            <w:r>
              <w:rPr>
                <w:b/>
                <w:sz w:val="20"/>
                <w:szCs w:val="20"/>
              </w:rPr>
              <w:t xml:space="preserve"> forældremyndigheden over eleven:</w:t>
            </w:r>
          </w:p>
        </w:tc>
        <w:tc>
          <w:tcPr>
            <w:tcW w:w="1937" w:type="dxa"/>
            <w:shd w:val="clear" w:color="auto" w:fill="F2F2F2" w:themeFill="background1" w:themeFillShade="F2"/>
          </w:tcPr>
          <w:p w:rsidR="002E0060" w:rsidRPr="004B0AA1" w:rsidRDefault="002E0060" w:rsidP="00A86EEB">
            <w:pPr>
              <w:spacing w:before="120" w:after="120"/>
              <w:jc w:val="center"/>
              <w:rPr>
                <w:b/>
                <w:sz w:val="20"/>
                <w:szCs w:val="20"/>
              </w:rPr>
            </w:pPr>
            <w:r w:rsidRPr="004B0AA1">
              <w:rPr>
                <w:b/>
                <w:sz w:val="20"/>
                <w:szCs w:val="20"/>
              </w:rPr>
              <w:t>Begge forældre</w:t>
            </w:r>
          </w:p>
        </w:tc>
        <w:tc>
          <w:tcPr>
            <w:tcW w:w="1134" w:type="dxa"/>
            <w:shd w:val="clear" w:color="auto" w:fill="F2F2F2" w:themeFill="background1" w:themeFillShade="F2"/>
          </w:tcPr>
          <w:p w:rsidR="002E0060" w:rsidRPr="004B0AA1" w:rsidRDefault="002E0060" w:rsidP="00A86EEB">
            <w:pPr>
              <w:spacing w:before="120" w:after="120"/>
              <w:jc w:val="center"/>
              <w:rPr>
                <w:b/>
                <w:sz w:val="20"/>
                <w:szCs w:val="20"/>
              </w:rPr>
            </w:pPr>
            <w:r w:rsidRPr="004B0AA1">
              <w:rPr>
                <w:b/>
                <w:sz w:val="20"/>
                <w:szCs w:val="20"/>
              </w:rPr>
              <w:t>Mor</w:t>
            </w:r>
          </w:p>
        </w:tc>
        <w:tc>
          <w:tcPr>
            <w:tcW w:w="1134" w:type="dxa"/>
            <w:shd w:val="clear" w:color="auto" w:fill="F2F2F2" w:themeFill="background1" w:themeFillShade="F2"/>
          </w:tcPr>
          <w:p w:rsidR="002E0060" w:rsidRPr="004B0AA1" w:rsidRDefault="002E0060" w:rsidP="00A86EEB">
            <w:pPr>
              <w:spacing w:before="120" w:after="120"/>
              <w:jc w:val="center"/>
              <w:rPr>
                <w:b/>
                <w:sz w:val="20"/>
                <w:szCs w:val="20"/>
              </w:rPr>
            </w:pPr>
            <w:r w:rsidRPr="004B0AA1">
              <w:rPr>
                <w:b/>
                <w:sz w:val="20"/>
                <w:szCs w:val="20"/>
              </w:rPr>
              <w:t>Far</w:t>
            </w:r>
          </w:p>
        </w:tc>
      </w:tr>
      <w:tr w:rsidR="002E0060" w:rsidTr="00A86EEB">
        <w:trPr>
          <w:trHeight w:val="374"/>
        </w:trPr>
        <w:tc>
          <w:tcPr>
            <w:tcW w:w="5353" w:type="dxa"/>
            <w:vMerge/>
            <w:shd w:val="clear" w:color="auto" w:fill="F2F2F2" w:themeFill="background1" w:themeFillShade="F2"/>
          </w:tcPr>
          <w:p w:rsidR="002E0060" w:rsidRPr="001A4FAB" w:rsidRDefault="002E0060" w:rsidP="00A86EEB">
            <w:pPr>
              <w:spacing w:before="120" w:after="120"/>
              <w:rPr>
                <w:b/>
                <w:sz w:val="20"/>
                <w:szCs w:val="20"/>
              </w:rPr>
            </w:pPr>
          </w:p>
        </w:tc>
        <w:tc>
          <w:tcPr>
            <w:tcW w:w="1937" w:type="dxa"/>
          </w:tcPr>
          <w:p w:rsidR="002E0060" w:rsidRDefault="002E0060" w:rsidP="00A86EEB">
            <w:pPr>
              <w:spacing w:before="120" w:after="120"/>
              <w:rPr>
                <w:sz w:val="20"/>
                <w:szCs w:val="20"/>
              </w:rPr>
            </w:pPr>
          </w:p>
        </w:tc>
        <w:tc>
          <w:tcPr>
            <w:tcW w:w="1134" w:type="dxa"/>
          </w:tcPr>
          <w:p w:rsidR="002E0060" w:rsidRDefault="002E0060" w:rsidP="00A86EEB">
            <w:pPr>
              <w:spacing w:before="120" w:after="120"/>
              <w:rPr>
                <w:sz w:val="20"/>
                <w:szCs w:val="20"/>
              </w:rPr>
            </w:pPr>
          </w:p>
        </w:tc>
        <w:tc>
          <w:tcPr>
            <w:tcW w:w="1134" w:type="dxa"/>
          </w:tcPr>
          <w:p w:rsidR="002E0060" w:rsidRDefault="002E0060" w:rsidP="00A86EEB">
            <w:pPr>
              <w:spacing w:before="120" w:after="120"/>
              <w:rPr>
                <w:sz w:val="20"/>
                <w:szCs w:val="20"/>
              </w:rPr>
            </w:pPr>
          </w:p>
        </w:tc>
      </w:tr>
    </w:tbl>
    <w:p w:rsidR="002E0060" w:rsidRDefault="002E0060" w:rsidP="002E0060">
      <w:pPr>
        <w:rPr>
          <w:sz w:val="20"/>
          <w:szCs w:val="20"/>
        </w:rPr>
      </w:pPr>
    </w:p>
    <w:tbl>
      <w:tblPr>
        <w:tblStyle w:val="Tabel-Gitter"/>
        <w:tblW w:w="10031" w:type="dxa"/>
        <w:tblLook w:val="04A0" w:firstRow="1" w:lastRow="0" w:firstColumn="1" w:lastColumn="0" w:noHBand="0" w:noVBand="1"/>
      </w:tblPr>
      <w:tblGrid>
        <w:gridCol w:w="2660"/>
        <w:gridCol w:w="3685"/>
        <w:gridCol w:w="3686"/>
      </w:tblGrid>
      <w:tr w:rsidR="002E0060" w:rsidRPr="00103CBF" w:rsidTr="00220266">
        <w:tc>
          <w:tcPr>
            <w:tcW w:w="2660" w:type="dxa"/>
            <w:shd w:val="clear" w:color="auto" w:fill="F2F2F2" w:themeFill="background1" w:themeFillShade="F2"/>
          </w:tcPr>
          <w:p w:rsidR="002E0060" w:rsidRPr="00436CE5" w:rsidRDefault="002E0060" w:rsidP="00A86EEB">
            <w:pPr>
              <w:spacing w:before="120" w:after="120"/>
              <w:rPr>
                <w:b/>
                <w:sz w:val="20"/>
                <w:szCs w:val="20"/>
              </w:rPr>
            </w:pPr>
            <w:r>
              <w:rPr>
                <w:b/>
                <w:sz w:val="20"/>
                <w:szCs w:val="20"/>
              </w:rPr>
              <w:t>Perioden, som fraværet omfatter</w:t>
            </w:r>
            <w:r w:rsidR="002721E6">
              <w:rPr>
                <w:b/>
                <w:sz w:val="20"/>
                <w:szCs w:val="20"/>
              </w:rPr>
              <w:t>:</w:t>
            </w:r>
          </w:p>
        </w:tc>
        <w:tc>
          <w:tcPr>
            <w:tcW w:w="3685" w:type="dxa"/>
          </w:tcPr>
          <w:p w:rsidR="002E0060" w:rsidRPr="002E0060" w:rsidRDefault="002E0060" w:rsidP="00A86EEB">
            <w:pPr>
              <w:spacing w:before="120" w:after="120"/>
              <w:rPr>
                <w:b/>
                <w:sz w:val="20"/>
                <w:szCs w:val="20"/>
              </w:rPr>
            </w:pPr>
            <w:r w:rsidRPr="002E0060">
              <w:rPr>
                <w:b/>
                <w:sz w:val="20"/>
                <w:szCs w:val="20"/>
              </w:rPr>
              <w:t>Fra dato:</w:t>
            </w:r>
          </w:p>
        </w:tc>
        <w:tc>
          <w:tcPr>
            <w:tcW w:w="3686" w:type="dxa"/>
          </w:tcPr>
          <w:p w:rsidR="002E0060" w:rsidRPr="002E0060" w:rsidRDefault="002E0060" w:rsidP="00A86EEB">
            <w:pPr>
              <w:spacing w:before="120" w:after="120"/>
              <w:rPr>
                <w:b/>
                <w:sz w:val="20"/>
                <w:szCs w:val="20"/>
              </w:rPr>
            </w:pPr>
            <w:r w:rsidRPr="002E0060">
              <w:rPr>
                <w:b/>
                <w:sz w:val="20"/>
                <w:szCs w:val="20"/>
              </w:rPr>
              <w:t>Til dato:</w:t>
            </w:r>
          </w:p>
        </w:tc>
      </w:tr>
    </w:tbl>
    <w:p w:rsidR="002E0060" w:rsidRDefault="002E0060" w:rsidP="002E0060">
      <w:pPr>
        <w:rPr>
          <w:sz w:val="20"/>
          <w:szCs w:val="20"/>
        </w:rPr>
      </w:pPr>
    </w:p>
    <w:p w:rsidR="002E0060" w:rsidRPr="00E5513B" w:rsidRDefault="002E0060" w:rsidP="002E0060">
      <w:pPr>
        <w:rPr>
          <w:b/>
          <w:sz w:val="20"/>
          <w:szCs w:val="20"/>
        </w:rPr>
      </w:pPr>
      <w:r w:rsidRPr="00E5513B">
        <w:rPr>
          <w:b/>
          <w:sz w:val="20"/>
          <w:szCs w:val="20"/>
        </w:rPr>
        <w:t xml:space="preserve">Forældrenes begrundelse for </w:t>
      </w:r>
      <w:r>
        <w:rPr>
          <w:b/>
          <w:sz w:val="20"/>
          <w:szCs w:val="20"/>
        </w:rPr>
        <w:t>ekstraordinær frihed</w:t>
      </w:r>
      <w:r w:rsidRPr="00E5513B">
        <w:rPr>
          <w:b/>
          <w:sz w:val="20"/>
          <w:szCs w:val="20"/>
        </w:rPr>
        <w:t>:</w:t>
      </w:r>
    </w:p>
    <w:tbl>
      <w:tblPr>
        <w:tblStyle w:val="Tabel-Gitter"/>
        <w:tblW w:w="10031" w:type="dxa"/>
        <w:tblLook w:val="04A0" w:firstRow="1" w:lastRow="0" w:firstColumn="1" w:lastColumn="0" w:noHBand="0" w:noVBand="1"/>
      </w:tblPr>
      <w:tblGrid>
        <w:gridCol w:w="10031"/>
      </w:tblGrid>
      <w:tr w:rsidR="002E0060" w:rsidTr="00A86EEB">
        <w:tc>
          <w:tcPr>
            <w:tcW w:w="10031" w:type="dxa"/>
          </w:tcPr>
          <w:p w:rsidR="002E0060" w:rsidRDefault="002E0060" w:rsidP="00A86EEB">
            <w:pPr>
              <w:rPr>
                <w:sz w:val="20"/>
                <w:szCs w:val="20"/>
              </w:rPr>
            </w:pPr>
          </w:p>
          <w:p w:rsidR="002E0060" w:rsidRDefault="002E0060" w:rsidP="00A86EEB">
            <w:pPr>
              <w:rPr>
                <w:sz w:val="20"/>
                <w:szCs w:val="20"/>
              </w:rPr>
            </w:pPr>
          </w:p>
          <w:p w:rsidR="002E0060" w:rsidRDefault="002E0060" w:rsidP="00A86EEB">
            <w:pPr>
              <w:rPr>
                <w:sz w:val="20"/>
                <w:szCs w:val="20"/>
              </w:rPr>
            </w:pPr>
          </w:p>
          <w:p w:rsidR="002E0060" w:rsidRDefault="002E0060" w:rsidP="00A86EEB">
            <w:pPr>
              <w:rPr>
                <w:sz w:val="20"/>
                <w:szCs w:val="20"/>
              </w:rPr>
            </w:pPr>
          </w:p>
          <w:p w:rsidR="002E0060" w:rsidRDefault="002E0060" w:rsidP="00A86EEB">
            <w:pPr>
              <w:rPr>
                <w:sz w:val="20"/>
                <w:szCs w:val="20"/>
              </w:rPr>
            </w:pPr>
          </w:p>
          <w:p w:rsidR="002E0060" w:rsidRDefault="002E0060" w:rsidP="00A86EEB">
            <w:pPr>
              <w:rPr>
                <w:sz w:val="20"/>
                <w:szCs w:val="20"/>
              </w:rPr>
            </w:pPr>
          </w:p>
          <w:p w:rsidR="002E0060" w:rsidRDefault="002E0060" w:rsidP="00A86EEB">
            <w:pPr>
              <w:rPr>
                <w:sz w:val="20"/>
                <w:szCs w:val="20"/>
              </w:rPr>
            </w:pPr>
          </w:p>
          <w:p w:rsidR="002E0060" w:rsidRDefault="002E0060" w:rsidP="00A86EEB">
            <w:pPr>
              <w:rPr>
                <w:sz w:val="20"/>
                <w:szCs w:val="20"/>
              </w:rPr>
            </w:pPr>
          </w:p>
          <w:p w:rsidR="002E0060" w:rsidRDefault="002E0060" w:rsidP="00A86EEB">
            <w:pPr>
              <w:rPr>
                <w:sz w:val="20"/>
                <w:szCs w:val="20"/>
              </w:rPr>
            </w:pPr>
          </w:p>
          <w:p w:rsidR="002E0060" w:rsidRDefault="002E0060" w:rsidP="00A86EEB">
            <w:pPr>
              <w:rPr>
                <w:sz w:val="20"/>
                <w:szCs w:val="20"/>
              </w:rPr>
            </w:pPr>
          </w:p>
        </w:tc>
      </w:tr>
    </w:tbl>
    <w:p w:rsidR="002E0060" w:rsidRPr="00436CE5" w:rsidRDefault="002E0060" w:rsidP="002E0060">
      <w:pPr>
        <w:rPr>
          <w:b/>
          <w:sz w:val="20"/>
          <w:szCs w:val="20"/>
        </w:rPr>
      </w:pPr>
    </w:p>
    <w:tbl>
      <w:tblPr>
        <w:tblStyle w:val="Tabel-Gitter"/>
        <w:tblW w:w="10031" w:type="dxa"/>
        <w:tblLook w:val="04A0" w:firstRow="1" w:lastRow="0" w:firstColumn="1" w:lastColumn="0" w:noHBand="0" w:noVBand="1"/>
      </w:tblPr>
      <w:tblGrid>
        <w:gridCol w:w="5920"/>
        <w:gridCol w:w="2055"/>
        <w:gridCol w:w="2056"/>
      </w:tblGrid>
      <w:tr w:rsidR="002E0060" w:rsidTr="00A86EEB">
        <w:trPr>
          <w:trHeight w:val="475"/>
        </w:trPr>
        <w:tc>
          <w:tcPr>
            <w:tcW w:w="5920" w:type="dxa"/>
            <w:shd w:val="clear" w:color="auto" w:fill="F2F2F2" w:themeFill="background1" w:themeFillShade="F2"/>
          </w:tcPr>
          <w:p w:rsidR="002E0060" w:rsidRPr="001A4FAB" w:rsidRDefault="002E0060" w:rsidP="00A86EEB">
            <w:pPr>
              <w:spacing w:before="120" w:after="120"/>
              <w:rPr>
                <w:b/>
                <w:sz w:val="20"/>
                <w:szCs w:val="20"/>
              </w:rPr>
            </w:pPr>
            <w:r>
              <w:rPr>
                <w:b/>
                <w:sz w:val="20"/>
                <w:szCs w:val="20"/>
              </w:rPr>
              <w:t>Er I som forældre vejledt omkring  konsekvenser ved 15% ulovligt fravær?</w:t>
            </w:r>
          </w:p>
        </w:tc>
        <w:tc>
          <w:tcPr>
            <w:tcW w:w="2055" w:type="dxa"/>
            <w:shd w:val="clear" w:color="auto" w:fill="F2F2F2" w:themeFill="background1" w:themeFillShade="F2"/>
          </w:tcPr>
          <w:p w:rsidR="002E0060" w:rsidRPr="004B0AA1" w:rsidRDefault="002E0060" w:rsidP="00A86EEB">
            <w:pPr>
              <w:spacing w:before="240" w:after="120"/>
              <w:jc w:val="center"/>
              <w:rPr>
                <w:b/>
                <w:sz w:val="20"/>
                <w:szCs w:val="20"/>
              </w:rPr>
            </w:pPr>
            <w:r w:rsidRPr="004B0AA1">
              <w:rPr>
                <w:b/>
                <w:sz w:val="20"/>
                <w:szCs w:val="20"/>
              </w:rPr>
              <w:t>Ja</w:t>
            </w:r>
          </w:p>
        </w:tc>
        <w:tc>
          <w:tcPr>
            <w:tcW w:w="2056" w:type="dxa"/>
            <w:shd w:val="clear" w:color="auto" w:fill="F2F2F2" w:themeFill="background1" w:themeFillShade="F2"/>
          </w:tcPr>
          <w:p w:rsidR="002E0060" w:rsidRPr="004B0AA1" w:rsidRDefault="002E0060" w:rsidP="00A86EEB">
            <w:pPr>
              <w:spacing w:before="240" w:after="120"/>
              <w:jc w:val="center"/>
              <w:rPr>
                <w:b/>
                <w:sz w:val="20"/>
                <w:szCs w:val="20"/>
              </w:rPr>
            </w:pPr>
            <w:r w:rsidRPr="004B0AA1">
              <w:rPr>
                <w:b/>
                <w:sz w:val="20"/>
                <w:szCs w:val="20"/>
              </w:rPr>
              <w:t>Nej</w:t>
            </w:r>
          </w:p>
        </w:tc>
      </w:tr>
    </w:tbl>
    <w:p w:rsidR="002E0060" w:rsidRDefault="002E0060"/>
    <w:tbl>
      <w:tblPr>
        <w:tblStyle w:val="Tabel-Gitter"/>
        <w:tblW w:w="10031" w:type="dxa"/>
        <w:tblLook w:val="04A0" w:firstRow="1" w:lastRow="0" w:firstColumn="1" w:lastColumn="0" w:noHBand="0" w:noVBand="1"/>
      </w:tblPr>
      <w:tblGrid>
        <w:gridCol w:w="4077"/>
        <w:gridCol w:w="5954"/>
      </w:tblGrid>
      <w:tr w:rsidR="002E0060" w:rsidTr="00A86EEB">
        <w:tc>
          <w:tcPr>
            <w:tcW w:w="4077" w:type="dxa"/>
            <w:shd w:val="clear" w:color="auto" w:fill="F2F2F2" w:themeFill="background1" w:themeFillShade="F2"/>
          </w:tcPr>
          <w:p w:rsidR="002E0060" w:rsidRDefault="002E0060" w:rsidP="00A86EEB">
            <w:pPr>
              <w:spacing w:before="120" w:after="120"/>
              <w:rPr>
                <w:b/>
                <w:sz w:val="20"/>
                <w:szCs w:val="20"/>
              </w:rPr>
            </w:pPr>
            <w:r w:rsidRPr="002404AF">
              <w:rPr>
                <w:b/>
                <w:sz w:val="20"/>
                <w:szCs w:val="20"/>
              </w:rPr>
              <w:t>Forældreunderskrift</w:t>
            </w:r>
            <w:r>
              <w:rPr>
                <w:b/>
                <w:sz w:val="20"/>
                <w:szCs w:val="20"/>
              </w:rPr>
              <w:t xml:space="preserve"> (er)</w:t>
            </w:r>
            <w:r w:rsidRPr="002404AF">
              <w:rPr>
                <w:b/>
                <w:sz w:val="20"/>
                <w:szCs w:val="20"/>
              </w:rPr>
              <w:t xml:space="preserve"> og dato:</w:t>
            </w:r>
          </w:p>
          <w:p w:rsidR="002E0060" w:rsidRPr="008378D3" w:rsidRDefault="008378D3" w:rsidP="008378D3">
            <w:pPr>
              <w:spacing w:before="120" w:after="120"/>
              <w:rPr>
                <w:b/>
                <w:sz w:val="16"/>
                <w:szCs w:val="16"/>
              </w:rPr>
            </w:pPr>
            <w:r w:rsidRPr="008378D3">
              <w:rPr>
                <w:b/>
                <w:sz w:val="16"/>
                <w:szCs w:val="16"/>
              </w:rPr>
              <w:t>(</w:t>
            </w:r>
            <w:r>
              <w:rPr>
                <w:b/>
                <w:sz w:val="16"/>
                <w:szCs w:val="16"/>
              </w:rPr>
              <w:t xml:space="preserve">Forældreunderskrift er IKKE </w:t>
            </w:r>
            <w:r w:rsidRPr="008378D3">
              <w:rPr>
                <w:b/>
                <w:sz w:val="16"/>
                <w:szCs w:val="16"/>
              </w:rPr>
              <w:t>nø</w:t>
            </w:r>
            <w:r>
              <w:rPr>
                <w:b/>
                <w:sz w:val="16"/>
                <w:szCs w:val="16"/>
              </w:rPr>
              <w:t>dvendigt, hvis det sendes i AULA</w:t>
            </w:r>
            <w:r w:rsidRPr="008378D3">
              <w:rPr>
                <w:b/>
                <w:sz w:val="16"/>
                <w:szCs w:val="16"/>
              </w:rPr>
              <w:t>)</w:t>
            </w:r>
          </w:p>
        </w:tc>
        <w:tc>
          <w:tcPr>
            <w:tcW w:w="5954" w:type="dxa"/>
          </w:tcPr>
          <w:p w:rsidR="002E0060" w:rsidRDefault="002E0060" w:rsidP="00A86EEB">
            <w:pPr>
              <w:spacing w:before="120" w:after="120"/>
              <w:rPr>
                <w:sz w:val="20"/>
                <w:szCs w:val="20"/>
              </w:rPr>
            </w:pPr>
          </w:p>
        </w:tc>
      </w:tr>
    </w:tbl>
    <w:p w:rsidR="002E0060" w:rsidRDefault="002E0060"/>
    <w:p w:rsidR="002E0060" w:rsidRDefault="00C617CB">
      <w:r>
        <w:t>Ansøgningen sendes eller gives til nærmeste pædagogiske leder på dit barns skole.</w:t>
      </w:r>
    </w:p>
    <w:p w:rsidR="008378D3" w:rsidRDefault="008378D3"/>
    <w:tbl>
      <w:tblPr>
        <w:tblStyle w:val="Tabel-Gitter"/>
        <w:tblW w:w="0" w:type="auto"/>
        <w:tblLook w:val="04A0" w:firstRow="1" w:lastRow="0" w:firstColumn="1" w:lastColumn="0" w:noHBand="0" w:noVBand="1"/>
      </w:tblPr>
      <w:tblGrid>
        <w:gridCol w:w="9628"/>
      </w:tblGrid>
      <w:tr w:rsidR="00566490" w:rsidTr="00566490">
        <w:tc>
          <w:tcPr>
            <w:tcW w:w="9628" w:type="dxa"/>
          </w:tcPr>
          <w:p w:rsidR="00566490" w:rsidRDefault="00566490">
            <w:pPr>
              <w:rPr>
                <w:sz w:val="18"/>
                <w:szCs w:val="18"/>
              </w:rPr>
            </w:pPr>
          </w:p>
          <w:p w:rsidR="00566490" w:rsidRDefault="00566490">
            <w:pPr>
              <w:rPr>
                <w:sz w:val="18"/>
                <w:szCs w:val="18"/>
              </w:rPr>
            </w:pPr>
          </w:p>
          <w:p w:rsidR="00566490" w:rsidRPr="00566490" w:rsidRDefault="00566490" w:rsidP="00566490">
            <w:pPr>
              <w:rPr>
                <w:b/>
                <w:i/>
                <w:sz w:val="18"/>
                <w:szCs w:val="18"/>
              </w:rPr>
            </w:pPr>
            <w:r w:rsidRPr="00566490">
              <w:rPr>
                <w:b/>
                <w:i/>
                <w:sz w:val="18"/>
                <w:szCs w:val="18"/>
              </w:rPr>
              <w:t>Vejledning om ekstraordinær frihed</w:t>
            </w:r>
          </w:p>
          <w:p w:rsidR="00566490" w:rsidRPr="00566490" w:rsidRDefault="00566490" w:rsidP="00566490">
            <w:pPr>
              <w:rPr>
                <w:i/>
                <w:sz w:val="18"/>
                <w:szCs w:val="18"/>
              </w:rPr>
            </w:pPr>
            <w:r w:rsidRPr="00566490">
              <w:rPr>
                <w:i/>
                <w:sz w:val="18"/>
                <w:szCs w:val="18"/>
              </w:rPr>
              <w:t>Jf. Bekendtgørelse om elevers fravær fra undervisning i folkeskolen</w:t>
            </w:r>
          </w:p>
          <w:p w:rsidR="00566490" w:rsidRPr="00566490" w:rsidRDefault="00566490" w:rsidP="00566490">
            <w:pPr>
              <w:rPr>
                <w:b/>
                <w:i/>
                <w:sz w:val="18"/>
                <w:szCs w:val="18"/>
              </w:rPr>
            </w:pPr>
          </w:p>
          <w:p w:rsidR="00566490" w:rsidRPr="00566490" w:rsidRDefault="00566490" w:rsidP="00566490">
            <w:pPr>
              <w:rPr>
                <w:b/>
                <w:i/>
                <w:sz w:val="18"/>
                <w:szCs w:val="18"/>
              </w:rPr>
            </w:pPr>
            <w:r w:rsidRPr="00566490">
              <w:rPr>
                <w:b/>
                <w:i/>
                <w:sz w:val="18"/>
                <w:szCs w:val="18"/>
              </w:rPr>
              <w:t>Hvornår skal du søge om ekstraordinær frihed?</w:t>
            </w:r>
          </w:p>
          <w:p w:rsidR="00566490" w:rsidRPr="00566490" w:rsidRDefault="00566490" w:rsidP="00566490">
            <w:pPr>
              <w:rPr>
                <w:i/>
                <w:sz w:val="18"/>
                <w:szCs w:val="18"/>
              </w:rPr>
            </w:pPr>
            <w:r w:rsidRPr="00566490">
              <w:rPr>
                <w:i/>
                <w:sz w:val="18"/>
                <w:szCs w:val="18"/>
              </w:rPr>
              <w:t xml:space="preserve">Som forældre skal du søge om ekstraordinær frihed, hvis du </w:t>
            </w:r>
            <w:r w:rsidRPr="00566490">
              <w:rPr>
                <w:i/>
                <w:sz w:val="18"/>
                <w:szCs w:val="18"/>
                <w:u w:val="single"/>
              </w:rPr>
              <w:t>uden for skolens ferier</w:t>
            </w:r>
            <w:r w:rsidRPr="00566490">
              <w:rPr>
                <w:i/>
                <w:sz w:val="18"/>
                <w:szCs w:val="18"/>
              </w:rPr>
              <w:t xml:space="preserve"> ønsker at tage dit barn med på ferie eller til begivenheder af betydning for familien. </w:t>
            </w:r>
          </w:p>
          <w:p w:rsidR="002721E6" w:rsidRDefault="002721E6" w:rsidP="00566490">
            <w:pPr>
              <w:rPr>
                <w:b/>
                <w:i/>
                <w:sz w:val="18"/>
                <w:szCs w:val="18"/>
              </w:rPr>
            </w:pPr>
          </w:p>
          <w:p w:rsidR="00566490" w:rsidRPr="00566490" w:rsidRDefault="00566490" w:rsidP="00566490">
            <w:pPr>
              <w:rPr>
                <w:b/>
                <w:i/>
                <w:sz w:val="18"/>
                <w:szCs w:val="18"/>
              </w:rPr>
            </w:pPr>
            <w:r w:rsidRPr="00566490">
              <w:rPr>
                <w:b/>
                <w:i/>
                <w:sz w:val="18"/>
                <w:szCs w:val="18"/>
              </w:rPr>
              <w:t>Hvilke konsekvenser er der ved afslag på om ekstraordinær frihed?</w:t>
            </w:r>
          </w:p>
          <w:p w:rsidR="00566490" w:rsidRPr="00566490" w:rsidRDefault="00566490" w:rsidP="00566490">
            <w:pPr>
              <w:rPr>
                <w:i/>
                <w:sz w:val="18"/>
                <w:szCs w:val="18"/>
              </w:rPr>
            </w:pPr>
            <w:r w:rsidRPr="00566490">
              <w:rPr>
                <w:i/>
                <w:sz w:val="18"/>
                <w:szCs w:val="18"/>
              </w:rPr>
              <w:t xml:space="preserve">Elever har pligt til at møde i skole, og derfor skal forældre </w:t>
            </w:r>
            <w:r w:rsidR="006B2E59">
              <w:rPr>
                <w:i/>
                <w:sz w:val="18"/>
                <w:szCs w:val="18"/>
              </w:rPr>
              <w:t xml:space="preserve">14 dage </w:t>
            </w:r>
            <w:r w:rsidRPr="00566490">
              <w:rPr>
                <w:i/>
                <w:sz w:val="18"/>
                <w:szCs w:val="18"/>
              </w:rPr>
              <w:t xml:space="preserve">inden den </w:t>
            </w:r>
            <w:r w:rsidR="006B2E59">
              <w:rPr>
                <w:i/>
                <w:sz w:val="18"/>
                <w:szCs w:val="18"/>
              </w:rPr>
              <w:t>planlagte</w:t>
            </w:r>
            <w:r w:rsidRPr="00566490">
              <w:rPr>
                <w:i/>
                <w:sz w:val="18"/>
                <w:szCs w:val="18"/>
              </w:rPr>
              <w:t xml:space="preserve"> ferie e.l. søge om tilladelse til ekstraordinær frihed hos skolens </w:t>
            </w:r>
            <w:r w:rsidR="00CA205A">
              <w:rPr>
                <w:i/>
                <w:sz w:val="18"/>
                <w:szCs w:val="18"/>
              </w:rPr>
              <w:t xml:space="preserve">pædagogiske </w:t>
            </w:r>
            <w:r w:rsidRPr="00566490">
              <w:rPr>
                <w:i/>
                <w:sz w:val="18"/>
                <w:szCs w:val="18"/>
              </w:rPr>
              <w:t xml:space="preserve">leder. Skolens </w:t>
            </w:r>
            <w:r w:rsidR="00CA205A">
              <w:rPr>
                <w:i/>
                <w:sz w:val="18"/>
                <w:szCs w:val="18"/>
              </w:rPr>
              <w:t xml:space="preserve">pædagogiske </w:t>
            </w:r>
            <w:r w:rsidRPr="00566490">
              <w:rPr>
                <w:i/>
                <w:sz w:val="18"/>
                <w:szCs w:val="18"/>
              </w:rPr>
              <w:t xml:space="preserve">leder kan efter en konkret vurdering give tilladelse til ekstraordinær frihed. Hvis der ikke gives tilladelse til fraværet eller forældrene ikke på forhånd søger om tilladelse, registreres fraværet som ulovligt. Ved 15% ulovligt fravær inden for ét kvartal skal </w:t>
            </w:r>
            <w:r w:rsidR="001B4923">
              <w:rPr>
                <w:i/>
                <w:sz w:val="18"/>
                <w:szCs w:val="18"/>
              </w:rPr>
              <w:t>distrikts</w:t>
            </w:r>
            <w:r w:rsidR="0056305D">
              <w:rPr>
                <w:i/>
                <w:sz w:val="18"/>
                <w:szCs w:val="18"/>
              </w:rPr>
              <w:t>skole</w:t>
            </w:r>
            <w:r w:rsidRPr="00566490">
              <w:rPr>
                <w:i/>
                <w:sz w:val="18"/>
                <w:szCs w:val="18"/>
              </w:rPr>
              <w:t>leder underrette kommune</w:t>
            </w:r>
            <w:r w:rsidR="001B4923">
              <w:rPr>
                <w:i/>
                <w:sz w:val="18"/>
                <w:szCs w:val="18"/>
              </w:rPr>
              <w:t>n</w:t>
            </w:r>
            <w:r w:rsidRPr="00566490">
              <w:rPr>
                <w:i/>
                <w:sz w:val="18"/>
                <w:szCs w:val="18"/>
              </w:rPr>
              <w:t xml:space="preserve"> med henblik på fratagelse af børne- og ungeydelsen for det kommende kvartal dvs. ydelsen for ét kvartal.  </w:t>
            </w:r>
          </w:p>
          <w:p w:rsidR="00941B92" w:rsidRDefault="00941B92" w:rsidP="00566490">
            <w:pPr>
              <w:rPr>
                <w:b/>
                <w:i/>
                <w:sz w:val="18"/>
                <w:szCs w:val="18"/>
              </w:rPr>
            </w:pPr>
          </w:p>
          <w:p w:rsidR="00566490" w:rsidRPr="00566490" w:rsidRDefault="00566490" w:rsidP="00566490">
            <w:pPr>
              <w:rPr>
                <w:b/>
                <w:i/>
                <w:sz w:val="18"/>
                <w:szCs w:val="18"/>
              </w:rPr>
            </w:pPr>
            <w:r w:rsidRPr="00566490">
              <w:rPr>
                <w:b/>
                <w:i/>
                <w:sz w:val="18"/>
                <w:szCs w:val="18"/>
              </w:rPr>
              <w:t>Hvordan vurderes ekstraordinær frihed?</w:t>
            </w:r>
          </w:p>
          <w:p w:rsidR="00566490" w:rsidRPr="00566490" w:rsidRDefault="00566490" w:rsidP="00566490">
            <w:pPr>
              <w:autoSpaceDE w:val="0"/>
              <w:autoSpaceDN w:val="0"/>
              <w:adjustRightInd w:val="0"/>
              <w:rPr>
                <w:i/>
                <w:sz w:val="18"/>
                <w:szCs w:val="18"/>
              </w:rPr>
            </w:pPr>
            <w:r w:rsidRPr="00566490">
              <w:rPr>
                <w:i/>
                <w:sz w:val="18"/>
                <w:szCs w:val="18"/>
              </w:rPr>
              <w:t>Når skole</w:t>
            </w:r>
            <w:r w:rsidR="00CA205A">
              <w:rPr>
                <w:i/>
                <w:sz w:val="18"/>
                <w:szCs w:val="18"/>
              </w:rPr>
              <w:t xml:space="preserve">ns pædagogiske </w:t>
            </w:r>
            <w:r w:rsidRPr="00566490">
              <w:rPr>
                <w:i/>
                <w:sz w:val="18"/>
                <w:szCs w:val="18"/>
              </w:rPr>
              <w:t xml:space="preserve">lederen skal træffe sin afgørelse, skal der lægge vægt på forskellige vurderingskriterier og tage udgangspunkt i den enkelte elevs situation. </w:t>
            </w:r>
          </w:p>
          <w:p w:rsidR="00566490" w:rsidRPr="00566490" w:rsidRDefault="00566490" w:rsidP="00566490">
            <w:pPr>
              <w:autoSpaceDE w:val="0"/>
              <w:autoSpaceDN w:val="0"/>
              <w:adjustRightInd w:val="0"/>
              <w:rPr>
                <w:i/>
                <w:sz w:val="18"/>
                <w:szCs w:val="18"/>
              </w:rPr>
            </w:pPr>
          </w:p>
          <w:p w:rsidR="00566490" w:rsidRDefault="00566490" w:rsidP="003B1CCF">
            <w:pPr>
              <w:autoSpaceDE w:val="0"/>
              <w:autoSpaceDN w:val="0"/>
              <w:adjustRightInd w:val="0"/>
              <w:rPr>
                <w:rFonts w:eastAsia="TimesNewRomanPSMT" w:cs="TimesNewRomanPSMT"/>
                <w:i/>
                <w:sz w:val="18"/>
                <w:szCs w:val="18"/>
              </w:rPr>
            </w:pPr>
            <w:r w:rsidRPr="00566490">
              <w:rPr>
                <w:i/>
                <w:sz w:val="18"/>
                <w:szCs w:val="18"/>
              </w:rPr>
              <w:t>”</w:t>
            </w:r>
            <w:r w:rsidRPr="00566490">
              <w:rPr>
                <w:rFonts w:cs="TimesNewRomanPS-BoldMT"/>
                <w:b/>
                <w:bCs/>
                <w:i/>
                <w:sz w:val="18"/>
                <w:szCs w:val="18"/>
              </w:rPr>
              <w:t xml:space="preserve">§ 3. </w:t>
            </w:r>
            <w:r w:rsidRPr="00566490">
              <w:rPr>
                <w:rFonts w:eastAsia="TimesNewRomanPSMT" w:cs="TimesNewRomanPSMT"/>
                <w:i/>
                <w:sz w:val="18"/>
                <w:szCs w:val="18"/>
              </w:rPr>
              <w:t>Skole</w:t>
            </w:r>
            <w:r w:rsidR="00CA205A">
              <w:rPr>
                <w:rFonts w:eastAsia="TimesNewRomanPSMT" w:cs="TimesNewRomanPSMT"/>
                <w:i/>
                <w:sz w:val="18"/>
                <w:szCs w:val="18"/>
              </w:rPr>
              <w:t xml:space="preserve">ns pædagogiske </w:t>
            </w:r>
            <w:r w:rsidRPr="00566490">
              <w:rPr>
                <w:rFonts w:eastAsia="TimesNewRomanPSMT" w:cs="TimesNewRomanPSMT"/>
                <w:i/>
                <w:sz w:val="18"/>
                <w:szCs w:val="18"/>
              </w:rPr>
              <w:t>lederen kan i ganske særlige tilfælde tillade fravær i form af ekstraordinær frihed. Tilladelse til ekstraordinær frihed sker på grundlag af en konkret vurdering af den pågældende elevs behov for at holde fri sammenholdt med det afbræk i undervisningen, som fraværet vil indebære for eleven og for klassen.</w:t>
            </w:r>
          </w:p>
          <w:p w:rsidR="002721E6" w:rsidRPr="00566490" w:rsidRDefault="002721E6" w:rsidP="003B1CCF">
            <w:pPr>
              <w:autoSpaceDE w:val="0"/>
              <w:autoSpaceDN w:val="0"/>
              <w:adjustRightInd w:val="0"/>
              <w:rPr>
                <w:rFonts w:eastAsia="TimesNewRomanPSMT" w:cs="TimesNewRomanPSMT"/>
                <w:i/>
                <w:sz w:val="18"/>
                <w:szCs w:val="18"/>
              </w:rPr>
            </w:pPr>
          </w:p>
          <w:p w:rsidR="006B2E59" w:rsidRPr="00566490" w:rsidRDefault="00566490" w:rsidP="003B1CCF">
            <w:pPr>
              <w:autoSpaceDE w:val="0"/>
              <w:autoSpaceDN w:val="0"/>
              <w:adjustRightInd w:val="0"/>
              <w:rPr>
                <w:rFonts w:eastAsia="TimesNewRomanPSMT" w:cs="TimesNewRomanPSMT"/>
                <w:i/>
                <w:sz w:val="18"/>
                <w:szCs w:val="18"/>
              </w:rPr>
            </w:pPr>
            <w:r w:rsidRPr="00566490">
              <w:rPr>
                <w:rFonts w:cs="TimesNewRomanPS-ItalicMT"/>
                <w:i/>
                <w:iCs/>
                <w:sz w:val="18"/>
                <w:szCs w:val="18"/>
              </w:rPr>
              <w:t xml:space="preserve">Stk. 2. </w:t>
            </w:r>
            <w:r w:rsidRPr="00566490">
              <w:rPr>
                <w:rFonts w:eastAsia="TimesNewRomanPSMT" w:cs="TimesNewRomanPSMT"/>
                <w:i/>
                <w:sz w:val="18"/>
                <w:szCs w:val="18"/>
              </w:rPr>
              <w:t>Ved vurderingen af, om ekstraordinær frihed skal tillades efter stk. 1, skal særligt lægges vægt på, om fraværet ud fra en konkret vurdering har negativ betydning for</w:t>
            </w:r>
          </w:p>
          <w:p w:rsidR="00566490" w:rsidRPr="00566490" w:rsidRDefault="00566490" w:rsidP="003B1CCF">
            <w:pPr>
              <w:autoSpaceDE w:val="0"/>
              <w:autoSpaceDN w:val="0"/>
              <w:adjustRightInd w:val="0"/>
              <w:rPr>
                <w:rFonts w:eastAsia="TimesNewRomanPSMT" w:cs="TimesNewRomanPSMT"/>
                <w:i/>
                <w:sz w:val="18"/>
                <w:szCs w:val="18"/>
              </w:rPr>
            </w:pPr>
            <w:r w:rsidRPr="00566490">
              <w:rPr>
                <w:rFonts w:eastAsia="TimesNewRomanPSMT" w:cs="TimesNewRomanPSMT"/>
                <w:i/>
                <w:sz w:val="18"/>
                <w:szCs w:val="18"/>
              </w:rPr>
              <w:t>1) elevens tilegnelse af kundskaber og færdigheder,</w:t>
            </w:r>
          </w:p>
          <w:p w:rsidR="00566490" w:rsidRPr="00566490" w:rsidRDefault="00566490" w:rsidP="003B1CCF">
            <w:pPr>
              <w:autoSpaceDE w:val="0"/>
              <w:autoSpaceDN w:val="0"/>
              <w:adjustRightInd w:val="0"/>
              <w:rPr>
                <w:rFonts w:eastAsia="TimesNewRomanPSMT" w:cs="TimesNewRomanPSMT"/>
                <w:i/>
                <w:sz w:val="18"/>
                <w:szCs w:val="18"/>
              </w:rPr>
            </w:pPr>
            <w:r w:rsidRPr="00566490">
              <w:rPr>
                <w:rFonts w:eastAsia="TimesNewRomanPSMT" w:cs="TimesNewRomanPSMT"/>
                <w:i/>
                <w:sz w:val="18"/>
                <w:szCs w:val="18"/>
              </w:rPr>
              <w:t>2) elevens motivation og læringsparathed,</w:t>
            </w:r>
          </w:p>
          <w:p w:rsidR="00566490" w:rsidRPr="00566490" w:rsidRDefault="00566490" w:rsidP="003B1CCF">
            <w:pPr>
              <w:autoSpaceDE w:val="0"/>
              <w:autoSpaceDN w:val="0"/>
              <w:adjustRightInd w:val="0"/>
              <w:rPr>
                <w:rFonts w:eastAsia="TimesNewRomanPSMT" w:cs="TimesNewRomanPSMT"/>
                <w:i/>
                <w:sz w:val="18"/>
                <w:szCs w:val="18"/>
              </w:rPr>
            </w:pPr>
            <w:r w:rsidRPr="00566490">
              <w:rPr>
                <w:rFonts w:eastAsia="TimesNewRomanPSMT" w:cs="TimesNewRomanPSMT"/>
                <w:i/>
                <w:sz w:val="18"/>
                <w:szCs w:val="18"/>
              </w:rPr>
              <w:t>3) elevens alsidige udvikling eller</w:t>
            </w:r>
          </w:p>
          <w:p w:rsidR="00566490" w:rsidRPr="00566490" w:rsidRDefault="00566490" w:rsidP="003B1CCF">
            <w:pPr>
              <w:autoSpaceDE w:val="0"/>
              <w:autoSpaceDN w:val="0"/>
              <w:adjustRightInd w:val="0"/>
              <w:rPr>
                <w:rFonts w:eastAsia="TimesNewRomanPSMT" w:cs="TimesNewRomanPSMT"/>
                <w:i/>
                <w:sz w:val="18"/>
                <w:szCs w:val="18"/>
              </w:rPr>
            </w:pPr>
            <w:r w:rsidRPr="00566490">
              <w:rPr>
                <w:rFonts w:eastAsia="TimesNewRomanPSMT" w:cs="TimesNewRomanPSMT"/>
                <w:i/>
                <w:sz w:val="18"/>
                <w:szCs w:val="18"/>
              </w:rPr>
              <w:t>4) andre elevers tilegnelse af kundskaber og færdigheder.</w:t>
            </w:r>
          </w:p>
          <w:p w:rsidR="00566490" w:rsidRPr="00566490" w:rsidRDefault="00566490" w:rsidP="003B1CCF">
            <w:pPr>
              <w:autoSpaceDE w:val="0"/>
              <w:autoSpaceDN w:val="0"/>
              <w:adjustRightInd w:val="0"/>
              <w:rPr>
                <w:rFonts w:eastAsia="TimesNewRomanPSMT" w:cs="TimesNewRomanPSMT"/>
                <w:i/>
                <w:sz w:val="18"/>
                <w:szCs w:val="18"/>
              </w:rPr>
            </w:pPr>
            <w:r w:rsidRPr="00566490">
              <w:rPr>
                <w:rFonts w:cs="TimesNewRomanPS-ItalicMT"/>
                <w:i/>
                <w:iCs/>
                <w:sz w:val="18"/>
                <w:szCs w:val="18"/>
              </w:rPr>
              <w:t xml:space="preserve">Stk. 3. </w:t>
            </w:r>
            <w:r w:rsidRPr="00566490">
              <w:rPr>
                <w:rFonts w:eastAsia="TimesNewRomanPSMT" w:cs="TimesNewRomanPSMT"/>
                <w:i/>
                <w:sz w:val="18"/>
                <w:szCs w:val="18"/>
              </w:rPr>
              <w:t>Ved vurderingen af, om ekstraordinær frihed skal tillades efter stk. 1, skal der anlægges en restriktiv vurdering og navnlig udvises tilbageholdenhed, hvis eleven inden for det seneste år har haft fravær</w:t>
            </w:r>
            <w:r w:rsidR="003B1CCF">
              <w:rPr>
                <w:rFonts w:eastAsia="TimesNewRomanPSMT" w:cs="TimesNewRomanPSMT"/>
                <w:i/>
                <w:sz w:val="18"/>
                <w:szCs w:val="18"/>
              </w:rPr>
              <w:t xml:space="preserve"> </w:t>
            </w:r>
            <w:r w:rsidRPr="00566490">
              <w:rPr>
                <w:rFonts w:eastAsia="TimesNewRomanPSMT" w:cs="TimesNewRomanPSMT"/>
                <w:i/>
                <w:sz w:val="18"/>
                <w:szCs w:val="18"/>
              </w:rPr>
              <w:t>af større omfang”. (BEK nr 1063 af 24/10/2019)</w:t>
            </w:r>
          </w:p>
          <w:p w:rsidR="00566490" w:rsidRPr="00566490" w:rsidRDefault="00566490" w:rsidP="00566490">
            <w:pPr>
              <w:rPr>
                <w:i/>
                <w:sz w:val="18"/>
                <w:szCs w:val="18"/>
              </w:rPr>
            </w:pPr>
          </w:p>
          <w:p w:rsidR="00566490" w:rsidRPr="00566490" w:rsidRDefault="00612407" w:rsidP="00566490">
            <w:pPr>
              <w:rPr>
                <w:b/>
                <w:i/>
                <w:sz w:val="18"/>
                <w:szCs w:val="18"/>
              </w:rPr>
            </w:pPr>
            <w:r>
              <w:rPr>
                <w:b/>
                <w:i/>
                <w:sz w:val="18"/>
                <w:szCs w:val="18"/>
              </w:rPr>
              <w:t xml:space="preserve">Afgørelse </w:t>
            </w:r>
          </w:p>
          <w:p w:rsidR="00566490" w:rsidRDefault="00566490">
            <w:pPr>
              <w:rPr>
                <w:sz w:val="18"/>
                <w:szCs w:val="18"/>
              </w:rPr>
            </w:pPr>
            <w:r w:rsidRPr="00566490">
              <w:rPr>
                <w:i/>
                <w:sz w:val="18"/>
                <w:szCs w:val="18"/>
              </w:rPr>
              <w:t xml:space="preserve">Som forældre skal du parthøres i forhold til </w:t>
            </w:r>
            <w:r w:rsidR="00CA205A">
              <w:rPr>
                <w:i/>
                <w:sz w:val="18"/>
                <w:szCs w:val="18"/>
              </w:rPr>
              <w:t>distriktsskole</w:t>
            </w:r>
            <w:r w:rsidRPr="00566490">
              <w:rPr>
                <w:i/>
                <w:sz w:val="18"/>
                <w:szCs w:val="18"/>
              </w:rPr>
              <w:t xml:space="preserve">lederens beslutning og har ret til en begrundelse. Er dit din barn over 12 år, skal barnet også parthøres. </w:t>
            </w:r>
            <w:r w:rsidR="00612407">
              <w:rPr>
                <w:i/>
                <w:sz w:val="18"/>
                <w:szCs w:val="18"/>
              </w:rPr>
              <w:t>Distriktsskolelederens beslutning kan ikke ankes.</w:t>
            </w:r>
          </w:p>
          <w:p w:rsidR="00566490" w:rsidRDefault="00566490">
            <w:pPr>
              <w:rPr>
                <w:sz w:val="18"/>
                <w:szCs w:val="18"/>
              </w:rPr>
            </w:pPr>
          </w:p>
          <w:p w:rsidR="00566490" w:rsidRDefault="00566490">
            <w:pPr>
              <w:rPr>
                <w:sz w:val="18"/>
                <w:szCs w:val="18"/>
              </w:rPr>
            </w:pPr>
          </w:p>
        </w:tc>
      </w:tr>
    </w:tbl>
    <w:p w:rsidR="00466CFF" w:rsidRDefault="00466CFF">
      <w:pPr>
        <w:rPr>
          <w:sz w:val="18"/>
          <w:szCs w:val="18"/>
        </w:rPr>
      </w:pPr>
    </w:p>
    <w:p w:rsidR="00D93346" w:rsidRPr="00D93346" w:rsidRDefault="00D93346">
      <w:pPr>
        <w:rPr>
          <w:sz w:val="18"/>
          <w:szCs w:val="18"/>
        </w:rPr>
      </w:pPr>
    </w:p>
    <w:sectPr w:rsidR="00D93346" w:rsidRPr="00D93346">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232" w:rsidRDefault="00AD1232" w:rsidP="00F75CD1">
      <w:pPr>
        <w:spacing w:after="0" w:line="240" w:lineRule="auto"/>
      </w:pPr>
      <w:r>
        <w:separator/>
      </w:r>
    </w:p>
  </w:endnote>
  <w:endnote w:type="continuationSeparator" w:id="0">
    <w:p w:rsidR="00AD1232" w:rsidRDefault="00AD1232" w:rsidP="00F7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Bold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232" w:rsidRDefault="00AD1232" w:rsidP="00F75CD1">
      <w:pPr>
        <w:spacing w:after="0" w:line="240" w:lineRule="auto"/>
      </w:pPr>
      <w:r>
        <w:separator/>
      </w:r>
    </w:p>
  </w:footnote>
  <w:footnote w:type="continuationSeparator" w:id="0">
    <w:p w:rsidR="00AD1232" w:rsidRDefault="00AD1232" w:rsidP="00F75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CD1" w:rsidRDefault="00F75CD1" w:rsidP="00F75CD1">
    <w:pPr>
      <w:pStyle w:val="Sidehoved"/>
      <w:jc w:val="right"/>
    </w:pPr>
    <w:r>
      <w:t>Forældrenes ansøgningsskema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D37ED"/>
    <w:multiLevelType w:val="hybridMultilevel"/>
    <w:tmpl w:val="4A483E98"/>
    <w:lvl w:ilvl="0" w:tplc="F2506BBA">
      <w:start w:val="1"/>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D1"/>
    <w:rsid w:val="001B4923"/>
    <w:rsid w:val="001D40A1"/>
    <w:rsid w:val="001E63FB"/>
    <w:rsid w:val="00206FDC"/>
    <w:rsid w:val="002721E6"/>
    <w:rsid w:val="002E0060"/>
    <w:rsid w:val="003B1CCF"/>
    <w:rsid w:val="00466CFF"/>
    <w:rsid w:val="004B1F61"/>
    <w:rsid w:val="005527AF"/>
    <w:rsid w:val="0056305D"/>
    <w:rsid w:val="00566490"/>
    <w:rsid w:val="00600A04"/>
    <w:rsid w:val="00612407"/>
    <w:rsid w:val="006B2E59"/>
    <w:rsid w:val="00714371"/>
    <w:rsid w:val="0079170D"/>
    <w:rsid w:val="008378D3"/>
    <w:rsid w:val="00895C4C"/>
    <w:rsid w:val="008C60C0"/>
    <w:rsid w:val="00941B92"/>
    <w:rsid w:val="00A553AC"/>
    <w:rsid w:val="00AC01C9"/>
    <w:rsid w:val="00AD1232"/>
    <w:rsid w:val="00C617CB"/>
    <w:rsid w:val="00CA205A"/>
    <w:rsid w:val="00D93346"/>
    <w:rsid w:val="00E54297"/>
    <w:rsid w:val="00F674D9"/>
    <w:rsid w:val="00F75C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75E9D-7C40-41BE-8893-AD4DA5DB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75CD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75CD1"/>
  </w:style>
  <w:style w:type="paragraph" w:styleId="Sidefod">
    <w:name w:val="footer"/>
    <w:basedOn w:val="Normal"/>
    <w:link w:val="SidefodTegn"/>
    <w:uiPriority w:val="99"/>
    <w:unhideWhenUsed/>
    <w:rsid w:val="00F75CD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75CD1"/>
  </w:style>
  <w:style w:type="table" w:styleId="Tabel-Gitter">
    <w:name w:val="Table Grid"/>
    <w:basedOn w:val="Tabel-Normal"/>
    <w:uiPriority w:val="59"/>
    <w:rsid w:val="002E006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66490"/>
    <w:pPr>
      <w:ind w:left="720"/>
      <w:contextualSpacing/>
    </w:pPr>
  </w:style>
  <w:style w:type="paragraph" w:styleId="Markeringsbobletekst">
    <w:name w:val="Balloon Text"/>
    <w:basedOn w:val="Normal"/>
    <w:link w:val="MarkeringsbobletekstTegn"/>
    <w:uiPriority w:val="99"/>
    <w:semiHidden/>
    <w:unhideWhenUsed/>
    <w:rsid w:val="00941B9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41B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4D0FF-7058-4CB1-8B97-D830FE5B4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2752</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Ballerup Kommune</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Storgaard Pedersen (rsg)</dc:creator>
  <cp:keywords/>
  <dc:description/>
  <cp:lastModifiedBy>Julie Bundgaard (jub1)</cp:lastModifiedBy>
  <cp:revision>2</cp:revision>
  <cp:lastPrinted>2019-11-21T09:46:00Z</cp:lastPrinted>
  <dcterms:created xsi:type="dcterms:W3CDTF">2019-12-16T11:25:00Z</dcterms:created>
  <dcterms:modified xsi:type="dcterms:W3CDTF">2019-12-16T11:25:00Z</dcterms:modified>
</cp:coreProperties>
</file>